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02580" cy="1079500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u w:val="single"/>
        </w:rPr>
        <w:t>GUIA REFERENCIAL PARA ELABORAÇÃO DE NOVO PPC</w:t>
      </w:r>
    </w:p>
    <w:p>
      <w:pPr>
        <w:pStyle w:val="Normal1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1"/>
        <w:numPr>
          <w:ilvl w:val="0"/>
          <w:numId w:val="2"/>
        </w:numPr>
        <w:ind w:left="283" w:hanging="283"/>
        <w:rPr>
          <w:b/>
          <w:b/>
        </w:rPr>
      </w:pPr>
      <w:r>
        <w:rPr>
          <w:b/>
        </w:rPr>
        <w:t>IDENTIFICAÇÃO DO CURSO</w:t>
      </w:r>
    </w:p>
    <w:p>
      <w:pPr>
        <w:pStyle w:val="Normal1"/>
        <w:ind w:left="720" w:hanging="0"/>
        <w:rPr/>
      </w:pPr>
      <w:r>
        <w:rPr/>
      </w:r>
    </w:p>
    <w:p>
      <w:pPr>
        <w:pStyle w:val="Normal1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Denominação: </w:t>
      </w:r>
    </w:p>
    <w:p>
      <w:pPr>
        <w:pStyle w:val="Normal1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Grau acadêmico:</w:t>
      </w:r>
    </w:p>
    <w:p>
      <w:pPr>
        <w:pStyle w:val="Normal1"/>
        <w:widowControl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Modalidade: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Turno de funcionamento:</w:t>
      </w:r>
    </w:p>
    <w:p>
      <w:pPr>
        <w:pStyle w:val="Normal1"/>
        <w:spacing w:lineRule="auto" w:line="360"/>
        <w:ind w:right="15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 médio de integralização curricular: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 máximo de integralização curricular: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Número de vagas por semestre/ano: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2"/>
        </w:numPr>
        <w:spacing w:lineRule="auto" w:line="360"/>
        <w:ind w:left="283" w:hanging="283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</w:rPr>
        <w:t>PROCESSO REFERENTE A NOVO PPC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Finalidade: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 ) Renovação de reconhecimento (RCG)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 ) Adequação às DCNs/normas internas ou externas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   ) Ambos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2"/>
        </w:numPr>
        <w:spacing w:lineRule="auto" w:line="360"/>
        <w:ind w:left="283" w:right="152" w:hanging="283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</w:rPr>
        <w:t>NO PPC HÁ PROPOSIÇÃO DE:</w:t>
      </w:r>
    </w:p>
    <w:p>
      <w:pPr>
        <w:pStyle w:val="Normal1"/>
        <w:spacing w:lineRule="auto" w:line="360"/>
        <w:ind w:right="152" w:hanging="0"/>
        <w:rPr>
          <w:sz w:val="24"/>
          <w:szCs w:val="24"/>
        </w:rPr>
      </w:pPr>
      <w:r>
        <w:rPr>
          <w:sz w:val="24"/>
          <w:szCs w:val="24"/>
        </w:rPr>
        <w:t>(   ) Mudança de turno</w:t>
      </w:r>
    </w:p>
    <w:p>
      <w:pPr>
        <w:pStyle w:val="Normal1"/>
        <w:spacing w:lineRule="auto" w:line="360"/>
        <w:ind w:right="152" w:hanging="0"/>
        <w:rPr>
          <w:sz w:val="24"/>
          <w:szCs w:val="24"/>
        </w:rPr>
      </w:pPr>
      <w:r>
        <w:rPr>
          <w:sz w:val="24"/>
          <w:szCs w:val="24"/>
        </w:rPr>
        <w:t>(   ) Mudança de semestralidade</w:t>
      </w:r>
    </w:p>
    <w:p>
      <w:pPr>
        <w:pStyle w:val="Normal1"/>
        <w:spacing w:lineRule="auto" w:line="360"/>
        <w:ind w:right="152" w:hanging="0"/>
        <w:rPr>
          <w:sz w:val="24"/>
          <w:szCs w:val="24"/>
        </w:rPr>
      </w:pPr>
      <w:r>
        <w:rPr>
          <w:sz w:val="24"/>
          <w:szCs w:val="24"/>
        </w:rPr>
        <w:t>(   ) Alteração na oferta de vagas</w:t>
      </w:r>
    </w:p>
    <w:p>
      <w:pPr>
        <w:pStyle w:val="Normal1"/>
        <w:spacing w:lineRule="auto" w:line="360"/>
        <w:ind w:right="152" w:hanging="0"/>
        <w:rPr>
          <w:sz w:val="24"/>
          <w:szCs w:val="24"/>
        </w:rPr>
      </w:pPr>
      <w:r>
        <w:rPr>
          <w:sz w:val="24"/>
          <w:szCs w:val="24"/>
        </w:rPr>
        <w:t xml:space="preserve">(   ) Tempo de integralização da matriz curricular </w:t>
      </w:r>
    </w:p>
    <w:p>
      <w:pPr>
        <w:pStyle w:val="Normal1"/>
        <w:spacing w:lineRule="auto" w:line="360"/>
        <w:ind w:right="15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Especificar a alteração:</w:t>
      </w:r>
    </w:p>
    <w:p>
      <w:pPr>
        <w:pStyle w:val="Normal1"/>
        <w:spacing w:lineRule="auto" w:line="360"/>
        <w:ind w:right="152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>
      <w:pPr>
        <w:pStyle w:val="Normal1"/>
        <w:spacing w:lineRule="auto" w:line="360"/>
        <w:ind w:right="152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>
      <w:pPr>
        <w:pStyle w:val="Normal1"/>
        <w:spacing w:lineRule="auto" w:line="360"/>
        <w:ind w:right="15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/>
        <w:ind w:right="15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1"/>
        <w:numPr>
          <w:ilvl w:val="0"/>
          <w:numId w:val="2"/>
        </w:numPr>
        <w:spacing w:lineRule="auto" w:line="360"/>
        <w:ind w:left="425" w:right="152" w:hanging="425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MATRIZ CURRICULAR                              </w:t>
      </w:r>
    </w:p>
    <w:tbl>
      <w:tblPr>
        <w:tblStyle w:val="Table1"/>
        <w:tblW w:w="9084" w:type="dxa"/>
        <w:jc w:val="left"/>
        <w:tblInd w:w="-1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416"/>
        <w:gridCol w:w="3862"/>
        <w:gridCol w:w="1806"/>
      </w:tblGrid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UNIDADES DE ESTRUTURAÇÃO DIDÁTICO-PEDAGÓGICAS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(ART. 21 DO RCG)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</w:tr>
      <w:tr>
        <w:trPr>
          <w:trHeight w:val="440" w:hRule="atLeast"/>
        </w:trPr>
        <w:tc>
          <w:tcPr>
            <w:tcW w:w="3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Disciplinas (RCG, Art. 49) 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Obrigatórias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Optativas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Eletivas* (RCG, Art 49, Inc. III)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7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Atividades da prática como componente curricular (RCG, Arts. 28-29 e Resolução CNE/CES 02/2019). </w:t>
            </w:r>
            <w:r>
              <w:rPr>
                <w:b/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Para licenciaturas.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curricular supervisionado obrigatório (RCG, Arts. 30-31)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Trabalho de conclusão de curso  (RCG, Arts. 32-33)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complementares (RCG, Arts. 34-36)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curriculares de extensão (Res. 25/2017 - CONSEPE, de 21/06/2017)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7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total (sem as eletivas)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pacing w:lineRule="auto" w:line="276" w:before="100" w:after="100"/>
        <w:rPr>
          <w:sz w:val="24"/>
          <w:szCs w:val="24"/>
        </w:rPr>
      </w:pPr>
      <w:r>
        <w:rPr>
          <w:sz w:val="24"/>
          <w:szCs w:val="24"/>
        </w:rPr>
        <w:t>*Não contabilizar na carga horária total do curso.</w:t>
      </w:r>
    </w:p>
    <w:p>
      <w:pPr>
        <w:pStyle w:val="Normal1"/>
        <w:spacing w:lineRule="auto" w:line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numPr>
          <w:ilvl w:val="0"/>
          <w:numId w:val="2"/>
        </w:numPr>
        <w:spacing w:lineRule="auto" w:line="240"/>
        <w:ind w:left="283" w:hanging="300"/>
        <w:rPr>
          <w:b/>
          <w:b/>
          <w:sz w:val="24"/>
          <w:szCs w:val="24"/>
          <w:u w:val="none"/>
        </w:rPr>
      </w:pPr>
      <w:r>
        <w:rPr>
          <w:b/>
          <w:sz w:val="24"/>
          <w:szCs w:val="24"/>
        </w:rPr>
        <w:t>ASPECTOS OBSERVADOS NO PROJETO PEDAGÓGICO</w:t>
      </w:r>
    </w:p>
    <w:p>
      <w:pPr>
        <w:pStyle w:val="Normal1"/>
        <w:spacing w:lineRule="auto" w:line="276"/>
        <w:ind w:right="1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980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729"/>
        <w:gridCol w:w="782"/>
        <w:gridCol w:w="890"/>
        <w:gridCol w:w="1406"/>
      </w:tblGrid>
      <w:tr>
        <w:trPr/>
        <w:tc>
          <w:tcPr>
            <w:tcW w:w="67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ITENS CONSIDERADOS</w:t>
            </w:r>
          </w:p>
        </w:tc>
        <w:tc>
          <w:tcPr>
            <w:tcW w:w="30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ATENDE</w:t>
            </w:r>
          </w:p>
        </w:tc>
      </w:tr>
      <w:tr>
        <w:trPr/>
        <w:tc>
          <w:tcPr>
            <w:tcW w:w="6729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PARCIAL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PPC atende ao template disponibilizado pela PROEG?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/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disponível no link: </w:t>
            </w:r>
            <w:hyperlink r:id="rId3">
              <w:r>
                <w:rPr>
                  <w:rStyle w:val="ListLabel19"/>
                  <w:color w:val="1155CC"/>
                  <w:sz w:val="24"/>
                  <w:szCs w:val="24"/>
                  <w:u w:val="single"/>
                </w:rPr>
                <w:t>https://proeg.uern.br/default.asp?item=Proeg-modelos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spacing w:lineRule="auto" w:line="360"/>
              <w:ind w:right="140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com o PPI/PDI da UERN?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o NDE do respectivo curso deve conduzir estudos do PDI/PPI na perspectiva de articular suas diretrizes com o PPC apresentado.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às DCNs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compete ao colegiado do curso avaliar a coerência do PPC proposto com as respectivas DCN. 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às normas internas?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para cada tópico do PPC o curso deve atentar para a existência de normas internas (Resoluções, Instruções Normativas, etc.) que regem a sua elaboração.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Alguns exemplos: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34/2016 CONSUNI - PDI;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Resolução 59/2013 CONSEPE - Núcleo Docente Estruturante;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26/2017 CONSEPE - RCG;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05/2015 CONSEPE UERN - Estágio Obrigatório;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25/2017 CONSEPE UERN - Curricularização da Extensão;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15/2017 CONSEPE UERN - Estágio Não Obrigatório;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70/2021 CONSEPE UERN - CH docente;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Instrução Normativa 01/2018 SIB UERN.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alinhado aos demais aspectos normativos externos à UERN?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compete ao colegiado identificar aspectos normativos aplicados ao curso e fazer a sua devida exposição/aplicação no PPC.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Alguns exemplos: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05/2020 CEE;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DCNs de cada curso;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360"/>
              <w:ind w:left="144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02/2019 CNE - Para as licenciaturas;</w:t>
            </w:r>
          </w:p>
          <w:p>
            <w:pPr>
              <w:pStyle w:val="Normal1"/>
              <w:numPr>
                <w:ilvl w:val="1"/>
                <w:numId w:val="1"/>
              </w:numPr>
              <w:spacing w:lineRule="auto" w:line="360"/>
              <w:ind w:left="1440" w:right="140" w:firstLine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Resolução 02/2007 CES/CNE/MEC - Para cursos de bacharelados.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histórico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texto sucinto, orientado pelos atos legais que conduziram a organização e  o funcionamento do curso desde a sua criação; destacar fatos/ acontecimentos relevantes que impulsionaram mudanças na sua organização e no seu funcionamento.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objetivos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checar o seu alinhamento com as respectivas DCN, princípios formativos,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perfil profissional a ser formado?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checar o seu alinhamento com as respectivas DCN, princípios formativos,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competências e habilidades a serem desenvolvidas?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checar o seu alinhamento com as respectivas DCN, princípios formativos,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princípios formativos?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compete ao colegiado definir esses princípios atentando para a necessidade de mencionar aqueles previstos no PPI, PDI e no RCG.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organização curricular?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atentar para disposições das DCN, RCG e demais legislações pertinentes.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matriz curricular?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conferir as informações sobre os componentes </w:t>
            </w:r>
            <w:r>
              <w:rPr>
                <w:b/>
                <w:sz w:val="24"/>
                <w:szCs w:val="24"/>
              </w:rPr>
              <w:t>já existentes</w:t>
            </w:r>
            <w:r>
              <w:rPr>
                <w:sz w:val="24"/>
                <w:szCs w:val="24"/>
              </w:rPr>
              <w:t xml:space="preserve"> a partir da matriz disponível no módulo SEMACAD do SAE.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quadro de equivalência dos componentes curriculares?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as equivalências são definidas pelo colegiado do curso e a esse se aplicam.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ementário com as referências básicas e complementares?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observar a orientação de 3 referências básicas e até 5 complementares.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highlight w:val="yellow"/>
                <w:u w:val="single"/>
              </w:rPr>
              <w:t>Uniformizar a apresentação das referências.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sistemática de avaliação de aprendizagem?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Regida pelos artigos 102 ao 113 do Regimento Geral da UERN.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recursos humanos disponíveis e necessários?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Atentar para as informações apresentadas no modelo de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2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infraestrutura disponível e necessária?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Atentar para as informações apresentadas no modelo de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gestão?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delinear as diretrizes da gestão orientando-se pelo PDI e PPI.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avaliação?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Observações:</w:t>
            </w:r>
            <w:r>
              <w:rPr>
                <w:sz w:val="24"/>
                <w:szCs w:val="24"/>
              </w:rPr>
              <w:t xml:space="preserve"> contemplar a avaliação interna através das atividades do NDE, COSE, CPA e avaliação externa (ENADE e CEE). No que tange à avaliação externa, apresentar e discutir as notas/conceitos das últimas avaliações.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pesquisa?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Observação: </w:t>
            </w:r>
            <w:r>
              <w:rPr>
                <w:sz w:val="24"/>
                <w:szCs w:val="24"/>
              </w:rPr>
              <w:t>atualizar informações sobre os grupos de pesquisa existentes, bem como projetos institucionalizados.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política de extensão?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atualizar informações sobre ações, projetos e programas de extensão institucionalizados.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resultados esperados?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Observaçãoão:</w:t>
            </w:r>
            <w:r>
              <w:rPr>
                <w:sz w:val="24"/>
                <w:szCs w:val="24"/>
              </w:rPr>
              <w:t xml:space="preserve"> discorrer sobre resultados esperados com a operacionalização do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mecanismos de acompanhamento dos egressos?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apresentar e discutir informações sobre egressos. Consultar e mencionar dados do  Portal do Egresso da UERN.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metodologia a ser adotada para consecução do projeto?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regulamento de organização e funcionamento do Curso?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as informações do regulamento devem ser elaboradas a partir do texto do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 relatório de ensino remoto como apêndice?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colocar relatório de atividades remotas dos semestres 2020.1, 2020.2 e 2021.1 como apêndice do PPC.</w:t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 departamental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Observação:</w:t>
            </w:r>
            <w:r>
              <w:rPr>
                <w:sz w:val="24"/>
                <w:szCs w:val="24"/>
              </w:rPr>
              <w:t xml:space="preserve"> anexar ao processo no SEI, ata departamental de aprovação do PPC.</w:t>
            </w:r>
          </w:p>
          <w:p>
            <w:pPr>
              <w:pStyle w:val="Normal1"/>
              <w:spacing w:lineRule="auto" w:line="360"/>
              <w:ind w:right="140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67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Planilha básica para planejamento de curso - PROAD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360"/>
              <w:ind w:right="14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Observações: </w:t>
            </w:r>
          </w:p>
          <w:p>
            <w:pPr>
              <w:pStyle w:val="Normal1"/>
              <w:spacing w:lineRule="auto" w:line="24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Planilha Básica para Planejamento de Curso – PROAD refere-se às necessidades de serviços, materiais e equipamentos diversos e auxilia na definição do elenco de necessidades básicas para o funcionamento do Curso.</w:t>
            </w:r>
          </w:p>
          <w:p>
            <w:pPr>
              <w:pStyle w:val="Normal1"/>
              <w:spacing w:lineRule="auto" w:line="240"/>
              <w:ind w:right="14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planilha deve ser anexada ao processo SEI devidamente preenchida.</w:t>
            </w:r>
          </w:p>
        </w:tc>
      </w:tr>
    </w:tbl>
    <w:p>
      <w:pPr>
        <w:pStyle w:val="Normal1"/>
        <w:spacing w:lineRule="auto" w:line="276"/>
        <w:ind w:right="1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ind w:right="142" w:hanging="0"/>
        <w:rPr/>
      </w:pPr>
      <w:r>
        <w:rPr/>
      </w:r>
    </w:p>
    <w:sectPr>
      <w:type w:val="nextPage"/>
      <w:pgSz w:w="11906" w:h="16838"/>
      <w:pgMar w:left="1700" w:right="1133" w:header="0" w:top="1700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right"/>
      <w:pPr>
        <w:ind w:left="7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zCs w:val="28"/>
        <w:rFonts w:cs="Arial"/>
        <w:color w:val="000000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rFonts w:cs="Aria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8"/>
      <w:u w:val="none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10">
    <w:name w:val="ListLabel 10"/>
    <w:qFormat/>
    <w:rPr>
      <w:b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color w:val="1155CC"/>
      <w:sz w:val="24"/>
      <w:szCs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proeg.uern.br/default.asp?item=Proeg-modelo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15</Pages>
  <Words>889</Words>
  <Characters>5572</Characters>
  <CharactersWithSpaces>6391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